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45F8" w14:textId="77777777" w:rsidR="00191592" w:rsidRPr="00F72780" w:rsidRDefault="00FD024B" w:rsidP="00FD024B">
      <w:pPr>
        <w:jc w:val="center"/>
        <w:rPr>
          <w:sz w:val="24"/>
          <w:szCs w:val="24"/>
        </w:rPr>
      </w:pPr>
      <w:r w:rsidRPr="00F72780">
        <w:rPr>
          <w:b/>
          <w:sz w:val="24"/>
          <w:szCs w:val="24"/>
        </w:rPr>
        <w:t>Alcune delle principali pubblicazioni realizzate con il suppor</w:t>
      </w:r>
      <w:r w:rsidR="00292046" w:rsidRPr="00F72780">
        <w:rPr>
          <w:b/>
          <w:sz w:val="24"/>
          <w:szCs w:val="24"/>
        </w:rPr>
        <w:t>to del</w:t>
      </w:r>
      <w:r w:rsidRPr="00F72780">
        <w:rPr>
          <w:b/>
          <w:sz w:val="24"/>
          <w:szCs w:val="24"/>
        </w:rPr>
        <w:t xml:space="preserve"> laboratori</w:t>
      </w:r>
      <w:r w:rsidR="00292046" w:rsidRPr="00F72780">
        <w:rPr>
          <w:b/>
          <w:sz w:val="24"/>
          <w:szCs w:val="24"/>
        </w:rPr>
        <w:t xml:space="preserve">o </w:t>
      </w:r>
      <w:r w:rsidRPr="00F72780">
        <w:rPr>
          <w:b/>
          <w:sz w:val="24"/>
          <w:szCs w:val="24"/>
        </w:rPr>
        <w:t>B3 via Irnerio 42</w:t>
      </w:r>
    </w:p>
    <w:p w14:paraId="0A6BEE0C" w14:textId="77777777" w:rsidR="00F72780" w:rsidRDefault="00F72780" w:rsidP="00F72780">
      <w:pPr>
        <w:spacing w:after="0" w:line="240" w:lineRule="auto"/>
        <w:ind w:left="284" w:hanging="284"/>
      </w:pPr>
    </w:p>
    <w:p w14:paraId="6998099D" w14:textId="77777777" w:rsidR="00F72780" w:rsidRPr="00F72780" w:rsidRDefault="00F72780" w:rsidP="00F72780">
      <w:pPr>
        <w:spacing w:after="0" w:line="240" w:lineRule="auto"/>
        <w:ind w:left="284" w:hanging="284"/>
        <w:rPr>
          <w:sz w:val="24"/>
          <w:szCs w:val="24"/>
          <w:lang w:val="en-US"/>
        </w:rPr>
      </w:pPr>
      <w:r w:rsidRPr="00F72780">
        <w:rPr>
          <w:sz w:val="24"/>
          <w:szCs w:val="24"/>
        </w:rPr>
        <w:t xml:space="preserve">Aloisi I, Parrotta L, Ruiz Kb, Landi C, Bini L, Cai G, Biondi S, Del Duca S (2016). </w:t>
      </w:r>
      <w:r w:rsidRPr="00F72780">
        <w:rPr>
          <w:sz w:val="24"/>
          <w:szCs w:val="24"/>
          <w:lang w:val="en-US"/>
        </w:rPr>
        <w:t xml:space="preserve">New insight into quinoa seed quality under salinity: changes in proteomic and amino acid profiles, phenolic content, and antioxidant activity of protein extracts. </w:t>
      </w:r>
      <w:r w:rsidRPr="00F72780">
        <w:rPr>
          <w:i/>
          <w:sz w:val="24"/>
          <w:szCs w:val="24"/>
          <w:lang w:val="en-US"/>
        </w:rPr>
        <w:t>Frontiers in Plant Science</w:t>
      </w:r>
      <w:r w:rsidRPr="00F72780">
        <w:rPr>
          <w:sz w:val="24"/>
          <w:szCs w:val="24"/>
          <w:lang w:val="en-US"/>
        </w:rPr>
        <w:t xml:space="preserve"> 7: 656.</w:t>
      </w:r>
    </w:p>
    <w:p w14:paraId="08B5C247" w14:textId="77777777" w:rsidR="00F72780" w:rsidRPr="00F72780" w:rsidRDefault="00F72780" w:rsidP="00F72780">
      <w:pPr>
        <w:spacing w:after="0" w:line="240" w:lineRule="auto"/>
        <w:ind w:left="284" w:hanging="284"/>
        <w:rPr>
          <w:sz w:val="24"/>
          <w:szCs w:val="24"/>
        </w:rPr>
      </w:pPr>
      <w:r w:rsidRPr="00F72780">
        <w:rPr>
          <w:sz w:val="24"/>
          <w:szCs w:val="24"/>
        </w:rPr>
        <w:t xml:space="preserve">Aloisi, I., Del Duca, S., De Nuntiis, P., Maray, A. M. V., Mandrioli, P., Gutiérrez, P., &amp; Fernández-González, D. (2018). </w:t>
      </w:r>
      <w:r w:rsidRPr="00F72780">
        <w:rPr>
          <w:sz w:val="24"/>
          <w:szCs w:val="24"/>
          <w:lang w:val="en-US"/>
        </w:rPr>
        <w:t xml:space="preserve">Behavior of profilins in the atmosphere and in vitro, and their relationship with the performance of airborne pollen. </w:t>
      </w:r>
      <w:r w:rsidRPr="00F72780">
        <w:rPr>
          <w:sz w:val="24"/>
          <w:szCs w:val="24"/>
        </w:rPr>
        <w:t>Atmospheric Environment, 178, 231-241.</w:t>
      </w:r>
    </w:p>
    <w:p w14:paraId="3FEAC308" w14:textId="77777777" w:rsidR="00F72780" w:rsidRPr="00F72780" w:rsidRDefault="00F72780" w:rsidP="00F72780">
      <w:pPr>
        <w:spacing w:after="0" w:line="240" w:lineRule="auto"/>
        <w:ind w:left="284" w:hanging="284"/>
        <w:rPr>
          <w:sz w:val="24"/>
          <w:szCs w:val="24"/>
          <w:lang w:val="en-US"/>
        </w:rPr>
      </w:pPr>
      <w:r w:rsidRPr="00F72780">
        <w:rPr>
          <w:sz w:val="24"/>
          <w:szCs w:val="24"/>
        </w:rPr>
        <w:t xml:space="preserve">Aloisi, I., Distefano, G., Antognoni, F., Potente, G., Parrotta, L., Faleri, C., ... &amp; Del Duca, S. (2020). </w:t>
      </w:r>
      <w:r w:rsidRPr="00F72780">
        <w:rPr>
          <w:sz w:val="24"/>
          <w:szCs w:val="24"/>
          <w:lang w:val="en-US"/>
        </w:rPr>
        <w:t>Temperature-dependent compatible and incompatible pollen-style interactions in Citrus clementina Hort. ex Tan. Show different transglutaminase features and polyamine pattern. Frontiers in Plant Science, 11, 1018.</w:t>
      </w:r>
    </w:p>
    <w:p w14:paraId="2C48EE50"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Ferri M, Happel A, Zanaroli G, Bertolini M, Chiesa S, Commisso M, Guzzo F, Tassoni A. (2020) Advances in combined enzymatic extraction of ferulic acid from wheat bran. New Biotechnology, 56: 38-45.</w:t>
      </w:r>
    </w:p>
    <w:p w14:paraId="04EB35D4" w14:textId="77777777" w:rsidR="00F72780" w:rsidRPr="00F72780" w:rsidRDefault="00F72780" w:rsidP="00F72780">
      <w:pPr>
        <w:spacing w:after="0" w:line="240" w:lineRule="auto"/>
        <w:ind w:left="284" w:hanging="284"/>
        <w:rPr>
          <w:rFonts w:cs="Calibri"/>
          <w:color w:val="000000"/>
          <w:sz w:val="24"/>
          <w:szCs w:val="24"/>
          <w:lang w:val="en-US"/>
        </w:rPr>
      </w:pPr>
      <w:r w:rsidRPr="00F72780">
        <w:rPr>
          <w:rFonts w:cs="Calibri"/>
          <w:color w:val="000000"/>
          <w:sz w:val="24"/>
          <w:szCs w:val="24"/>
        </w:rPr>
        <w:t xml:space="preserve">Guarino F., Ruiz K.B., Castiglione S., Cicatelli A., Biondi S. (2020). </w:t>
      </w:r>
      <w:r w:rsidRPr="00F72780">
        <w:rPr>
          <w:rFonts w:cs="Calibri"/>
          <w:color w:val="000000"/>
          <w:sz w:val="24"/>
          <w:szCs w:val="24"/>
          <w:lang w:val="en-GB"/>
        </w:rPr>
        <w:t xml:space="preserve">The combined effect of Cr(III) and NaCl determines changes in metal uptake, nutrient content, and gene expression in quinoa (Chenopodium quinoa Willd.). </w:t>
      </w:r>
      <w:r w:rsidRPr="00F72780">
        <w:rPr>
          <w:rFonts w:cs="Calibri"/>
          <w:i/>
          <w:iCs/>
          <w:color w:val="000000"/>
          <w:sz w:val="24"/>
          <w:szCs w:val="24"/>
          <w:lang w:val="en-US"/>
        </w:rPr>
        <w:t>Ecotoxicology and Environmental Safety</w:t>
      </w:r>
      <w:r w:rsidRPr="00F72780">
        <w:rPr>
          <w:rFonts w:cs="Calibri"/>
          <w:color w:val="000000"/>
          <w:sz w:val="24"/>
          <w:szCs w:val="24"/>
          <w:lang w:val="en-US"/>
        </w:rPr>
        <w:t xml:space="preserve"> 193: 1-12</w:t>
      </w:r>
    </w:p>
    <w:p w14:paraId="4E7CB36C"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Kebert M, Rapparini F, Neri L, Bertazza G, Orlović</w:t>
      </w:r>
      <w:r w:rsidRPr="00F72780">
        <w:rPr>
          <w:sz w:val="24"/>
          <w:szCs w:val="24"/>
          <w:vertAlign w:val="superscript"/>
          <w:lang w:val="en-US"/>
        </w:rPr>
        <w:t xml:space="preserve"> </w:t>
      </w:r>
      <w:r w:rsidRPr="00F72780">
        <w:rPr>
          <w:sz w:val="24"/>
          <w:szCs w:val="24"/>
          <w:lang w:val="en-US"/>
        </w:rPr>
        <w:t xml:space="preserve">S, Biondi S (2017). </w:t>
      </w:r>
      <w:r w:rsidRPr="00F72780">
        <w:rPr>
          <w:color w:val="000000"/>
          <w:sz w:val="24"/>
          <w:szCs w:val="24"/>
          <w:lang w:val="en-US"/>
        </w:rPr>
        <w:t xml:space="preserve">Copper-induced responses in poplar clones are associated with </w:t>
      </w:r>
      <w:r w:rsidRPr="00F72780">
        <w:rPr>
          <w:sz w:val="24"/>
          <w:szCs w:val="24"/>
          <w:lang w:val="en-US"/>
        </w:rPr>
        <w:t xml:space="preserve">genotype- and organ-specific changes in peroxidase activity and proline, polyamine, ABA, and IAA levels. </w:t>
      </w:r>
      <w:r w:rsidRPr="00F72780">
        <w:rPr>
          <w:i/>
          <w:sz w:val="24"/>
          <w:szCs w:val="24"/>
          <w:lang w:val="en-US"/>
        </w:rPr>
        <w:t>Journal of Plant Growth Regulation</w:t>
      </w:r>
      <w:r w:rsidRPr="00F72780">
        <w:rPr>
          <w:sz w:val="24"/>
          <w:szCs w:val="24"/>
          <w:lang w:val="en-US"/>
        </w:rPr>
        <w:t xml:space="preserve"> 36: 131–147</w:t>
      </w:r>
    </w:p>
    <w:p w14:paraId="20FC12EC"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Monari S, Ferri M, Montecchi B, Salinitro M, Tassoni A (2021) Phytochemical characterization of raw and cooked traditionally consumed alimurgic plants. PLoS ONE 16(8): e0256703.</w:t>
      </w:r>
    </w:p>
    <w:p w14:paraId="016EB5AA" w14:textId="77777777" w:rsidR="00F72780" w:rsidRPr="00F72780" w:rsidRDefault="00F72780" w:rsidP="00F72780">
      <w:pPr>
        <w:spacing w:after="0" w:line="240" w:lineRule="auto"/>
        <w:ind w:left="284" w:hanging="284"/>
        <w:rPr>
          <w:sz w:val="24"/>
          <w:szCs w:val="24"/>
        </w:rPr>
      </w:pPr>
      <w:r w:rsidRPr="00F72780">
        <w:rPr>
          <w:sz w:val="24"/>
          <w:szCs w:val="24"/>
        </w:rPr>
        <w:t xml:space="preserve">Parrotta, L., Aloisi, I., Faleri, C., Romi, M., Del Duca, S., &amp; Cai, G. (2020). </w:t>
      </w:r>
      <w:r w:rsidRPr="00F72780">
        <w:rPr>
          <w:sz w:val="24"/>
          <w:szCs w:val="24"/>
          <w:lang w:val="en-US"/>
        </w:rPr>
        <w:t xml:space="preserve">Chronic heat stress affects the photosynthetic apparatus of Solanum lycopersicum L. cv Micro-Tom. </w:t>
      </w:r>
      <w:r w:rsidRPr="00F72780">
        <w:rPr>
          <w:sz w:val="24"/>
          <w:szCs w:val="24"/>
        </w:rPr>
        <w:t>Plant Physiology and Biochemistry, 154, 463-475.</w:t>
      </w:r>
    </w:p>
    <w:p w14:paraId="0F3BEAA4" w14:textId="77777777" w:rsidR="00F72780" w:rsidRPr="00F72780" w:rsidRDefault="00F72780" w:rsidP="00F72780">
      <w:pPr>
        <w:spacing w:after="0" w:line="240" w:lineRule="auto"/>
        <w:ind w:left="284" w:hanging="284"/>
        <w:rPr>
          <w:sz w:val="24"/>
          <w:szCs w:val="24"/>
          <w:lang w:val="en-US"/>
        </w:rPr>
      </w:pPr>
      <w:r w:rsidRPr="00F72780">
        <w:rPr>
          <w:color w:val="000000"/>
          <w:sz w:val="24"/>
          <w:szCs w:val="24"/>
          <w:lang w:val="en-US"/>
        </w:rPr>
        <w:t xml:space="preserve">Ruiz Kb, </w:t>
      </w:r>
      <w:r w:rsidRPr="00F72780">
        <w:rPr>
          <w:sz w:val="24"/>
          <w:szCs w:val="24"/>
          <w:lang w:val="en-US"/>
        </w:rPr>
        <w:t>Aloisi I, Del Duca S, Canelo</w:t>
      </w:r>
      <w:r w:rsidRPr="00F72780">
        <w:rPr>
          <w:sz w:val="24"/>
          <w:szCs w:val="24"/>
          <w:vertAlign w:val="superscript"/>
          <w:lang w:val="en-US"/>
        </w:rPr>
        <w:t xml:space="preserve"> </w:t>
      </w:r>
      <w:r w:rsidRPr="00F72780">
        <w:rPr>
          <w:sz w:val="24"/>
          <w:szCs w:val="24"/>
          <w:lang w:val="en-US"/>
        </w:rPr>
        <w:t xml:space="preserve">V, Torrigiani P, Silva H, </w:t>
      </w:r>
      <w:r w:rsidRPr="00F72780">
        <w:rPr>
          <w:color w:val="000000"/>
          <w:sz w:val="24"/>
          <w:szCs w:val="24"/>
          <w:lang w:val="en-US"/>
        </w:rPr>
        <w:t>Biondi S</w:t>
      </w:r>
      <w:r w:rsidRPr="00F72780">
        <w:rPr>
          <w:color w:val="FF0000"/>
          <w:sz w:val="24"/>
          <w:szCs w:val="24"/>
          <w:lang w:val="en-US"/>
        </w:rPr>
        <w:t xml:space="preserve"> </w:t>
      </w:r>
      <w:r w:rsidRPr="00F72780">
        <w:rPr>
          <w:sz w:val="24"/>
          <w:szCs w:val="24"/>
          <w:lang w:val="en-US"/>
        </w:rPr>
        <w:t>(2016)</w:t>
      </w:r>
      <w:r w:rsidRPr="00F72780">
        <w:rPr>
          <w:color w:val="FF0000"/>
          <w:sz w:val="24"/>
          <w:szCs w:val="24"/>
          <w:lang w:val="en-US"/>
        </w:rPr>
        <w:t xml:space="preserve"> </w:t>
      </w:r>
      <w:r w:rsidRPr="00F72780">
        <w:rPr>
          <w:i/>
          <w:sz w:val="24"/>
          <w:szCs w:val="24"/>
          <w:lang w:val="en-US"/>
        </w:rPr>
        <w:t>Salares</w:t>
      </w:r>
      <w:r w:rsidRPr="00F72780">
        <w:rPr>
          <w:sz w:val="24"/>
          <w:szCs w:val="24"/>
          <w:lang w:val="en-US"/>
        </w:rPr>
        <w:t xml:space="preserve"> versus coastal ecotypes of quinoa: salinity responses in Chilean landraces from contrasting habitats. </w:t>
      </w:r>
      <w:r w:rsidRPr="00F72780">
        <w:rPr>
          <w:i/>
          <w:sz w:val="24"/>
          <w:szCs w:val="24"/>
          <w:lang w:val="en-US"/>
        </w:rPr>
        <w:t>Plant Physiology and Biochemistry</w:t>
      </w:r>
      <w:r w:rsidRPr="00F72780">
        <w:rPr>
          <w:sz w:val="24"/>
          <w:szCs w:val="24"/>
          <w:lang w:val="en-US"/>
        </w:rPr>
        <w:t xml:space="preserve">  101: 1-13</w:t>
      </w:r>
    </w:p>
    <w:p w14:paraId="08A54BAE" w14:textId="77777777" w:rsidR="00F72780" w:rsidRPr="00F72780" w:rsidRDefault="00F72780" w:rsidP="00F72780">
      <w:pPr>
        <w:spacing w:after="0" w:line="240" w:lineRule="auto"/>
        <w:ind w:left="284" w:hanging="284"/>
        <w:rPr>
          <w:sz w:val="24"/>
          <w:szCs w:val="24"/>
          <w:shd w:val="clear" w:color="auto" w:fill="FFFFFF"/>
          <w:lang w:val="en-US"/>
        </w:rPr>
      </w:pPr>
      <w:r w:rsidRPr="00F72780">
        <w:rPr>
          <w:rFonts w:cs="Calibri"/>
          <w:color w:val="000000"/>
          <w:sz w:val="24"/>
          <w:szCs w:val="24"/>
        </w:rPr>
        <w:t xml:space="preserve">Ruiz Kb, </w:t>
      </w:r>
      <w:r w:rsidRPr="00F72780">
        <w:rPr>
          <w:sz w:val="24"/>
          <w:szCs w:val="24"/>
        </w:rPr>
        <w:t xml:space="preserve">Rapparini F, Bertazza G, Silva H, Torrigiani P, Biondi S (2017). </w:t>
      </w:r>
      <w:r w:rsidRPr="00F72780">
        <w:rPr>
          <w:sz w:val="24"/>
          <w:szCs w:val="24"/>
          <w:shd w:val="clear" w:color="auto" w:fill="FFFFFF"/>
          <w:lang w:val="en-GB"/>
        </w:rPr>
        <w:t xml:space="preserve">Comparing </w:t>
      </w:r>
      <w:r w:rsidRPr="00F72780">
        <w:rPr>
          <w:sz w:val="24"/>
          <w:szCs w:val="24"/>
          <w:lang w:val="en-US"/>
        </w:rPr>
        <w:t xml:space="preserve">salt-induced responses at the transcript level </w:t>
      </w:r>
      <w:r w:rsidRPr="00F72780">
        <w:rPr>
          <w:sz w:val="24"/>
          <w:szCs w:val="24"/>
          <w:shd w:val="clear" w:color="auto" w:fill="FFFFFF"/>
          <w:lang w:val="en-GB"/>
        </w:rPr>
        <w:t xml:space="preserve">in a </w:t>
      </w:r>
      <w:r w:rsidRPr="00F72780">
        <w:rPr>
          <w:i/>
          <w:iCs/>
          <w:sz w:val="24"/>
          <w:szCs w:val="24"/>
          <w:shd w:val="clear" w:color="auto" w:fill="FFFFFF"/>
          <w:lang w:val="en-GB"/>
        </w:rPr>
        <w:t xml:space="preserve">salares </w:t>
      </w:r>
      <w:r w:rsidRPr="00F72780">
        <w:rPr>
          <w:sz w:val="24"/>
          <w:szCs w:val="24"/>
          <w:shd w:val="clear" w:color="auto" w:fill="FFFFFF"/>
          <w:lang w:val="en-GB"/>
        </w:rPr>
        <w:t>and coastal-lowlands landrace of quinoa (</w:t>
      </w:r>
      <w:r w:rsidRPr="00F72780">
        <w:rPr>
          <w:i/>
          <w:iCs/>
          <w:sz w:val="24"/>
          <w:szCs w:val="24"/>
          <w:shd w:val="clear" w:color="auto" w:fill="FFFFFF"/>
          <w:lang w:val="en-GB"/>
        </w:rPr>
        <w:t>Chenopodium quinoa</w:t>
      </w:r>
      <w:r w:rsidRPr="00F72780">
        <w:rPr>
          <w:sz w:val="24"/>
          <w:szCs w:val="24"/>
          <w:shd w:val="clear" w:color="auto" w:fill="FFFFFF"/>
          <w:lang w:val="en-GB"/>
        </w:rPr>
        <w:t xml:space="preserve"> Willd).  </w:t>
      </w:r>
      <w:r w:rsidRPr="00F72780">
        <w:rPr>
          <w:i/>
          <w:sz w:val="24"/>
          <w:szCs w:val="24"/>
          <w:shd w:val="clear" w:color="auto" w:fill="FFFFFF"/>
          <w:lang w:val="en-US"/>
        </w:rPr>
        <w:t>Environmental and Experimental Botany</w:t>
      </w:r>
      <w:r w:rsidRPr="00F72780">
        <w:rPr>
          <w:sz w:val="24"/>
          <w:szCs w:val="24"/>
          <w:shd w:val="clear" w:color="auto" w:fill="FFFFFF"/>
          <w:lang w:val="en-US"/>
        </w:rPr>
        <w:t xml:space="preserve">  139: 127-142</w:t>
      </w:r>
    </w:p>
    <w:p w14:paraId="485516BC"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Salinitro M, Alessandrini A, Zappi A, Tassoni A (2019) Impact of climate change and urban development on the flora of a southern European city: analysis of biodiversity change over a 120-year period. Scientific Reports, 9:9464.</w:t>
      </w:r>
    </w:p>
    <w:p w14:paraId="0355F531"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Salinitro M, Hoogerwerf S, Casolari S, Zappi A , Melucci D, Tassoni A (2020) Production of Antioxidant Molecules in Polygonum aviculare (L.) and Senecio vulgaris (L.) under Metal Stress: A Possible Tool in the Evaluation of Plant Metal Tolerance. Internat</w:t>
      </w:r>
      <w:r>
        <w:rPr>
          <w:sz w:val="24"/>
          <w:szCs w:val="24"/>
          <w:lang w:val="en-US"/>
        </w:rPr>
        <w:t>ional Journal of Molecular Sci</w:t>
      </w:r>
      <w:bookmarkStart w:id="0" w:name="_GoBack"/>
      <w:bookmarkEnd w:id="0"/>
      <w:r w:rsidRPr="00F72780">
        <w:rPr>
          <w:sz w:val="24"/>
          <w:szCs w:val="24"/>
          <w:lang w:val="en-US"/>
        </w:rPr>
        <w:t>ences, 21, 7317.</w:t>
      </w:r>
    </w:p>
    <w:p w14:paraId="13AC0E27" w14:textId="77777777" w:rsidR="00F72780" w:rsidRPr="00F72780" w:rsidRDefault="00F72780" w:rsidP="00F72780">
      <w:pPr>
        <w:spacing w:after="0" w:line="240" w:lineRule="auto"/>
        <w:ind w:left="284" w:hanging="284"/>
        <w:rPr>
          <w:sz w:val="24"/>
          <w:szCs w:val="24"/>
          <w:lang w:val="en-US"/>
        </w:rPr>
      </w:pPr>
      <w:r w:rsidRPr="00F72780">
        <w:rPr>
          <w:sz w:val="24"/>
          <w:szCs w:val="24"/>
          <w:lang w:val="en-US"/>
        </w:rPr>
        <w:t>Sansanelli S, Zanichelli D, Filippini A, Ferri M, Tassoni A. (2014) Production of free and glycosylated isoflavones in in vitro soybean (Glycine max L.) hypocotyls cell suspensions and comparison with industrial seed extracts. Plant Cell, Tissue and Organ Culture, 119: 301-311.</w:t>
      </w:r>
    </w:p>
    <w:p w14:paraId="4AA7AE3B" w14:textId="77777777" w:rsidR="00F72780" w:rsidRPr="00F72780" w:rsidRDefault="00F72780" w:rsidP="00F72780">
      <w:pPr>
        <w:spacing w:after="0" w:line="240" w:lineRule="auto"/>
        <w:ind w:left="284" w:hanging="284"/>
        <w:rPr>
          <w:sz w:val="24"/>
          <w:szCs w:val="24"/>
          <w:lang w:val="en-US"/>
        </w:rPr>
      </w:pPr>
      <w:r w:rsidRPr="00F72780">
        <w:rPr>
          <w:sz w:val="24"/>
          <w:szCs w:val="24"/>
        </w:rPr>
        <w:t xml:space="preserve">Scarnato, L., Gadermaier, G., Volta, U., De Giorgio, R., Caio, G., Lanciotti, R., &amp; Del Duca, S. (2019). </w:t>
      </w:r>
      <w:r w:rsidRPr="00F72780">
        <w:rPr>
          <w:sz w:val="24"/>
          <w:szCs w:val="24"/>
          <w:lang w:val="en-US"/>
        </w:rPr>
        <w:t>Immunoreactivity of gluten-sensitized sera toward wheat, rice, corn, and amaranth flour proteins treated with microbial transglutaminase. Frontiers in microbiology, 10, 470.</w:t>
      </w:r>
    </w:p>
    <w:p w14:paraId="1DD3F2E4" w14:textId="77777777" w:rsidR="00F72780" w:rsidRPr="00F72780" w:rsidRDefault="00F72780" w:rsidP="00F72780">
      <w:pPr>
        <w:spacing w:after="0" w:line="240" w:lineRule="auto"/>
        <w:ind w:left="284" w:hanging="284"/>
        <w:rPr>
          <w:sz w:val="24"/>
          <w:szCs w:val="24"/>
          <w:lang w:val="en-US"/>
        </w:rPr>
      </w:pPr>
      <w:r w:rsidRPr="00F72780">
        <w:rPr>
          <w:sz w:val="24"/>
          <w:szCs w:val="24"/>
        </w:rPr>
        <w:t xml:space="preserve">Serafini-Fracassini, D., Della Mea, M., Parrotta, L., Faleri, C., Cai, G., Del Duca, S., &amp; Aloisi, I. (2021). </w:t>
      </w:r>
      <w:r w:rsidRPr="00F72780">
        <w:rPr>
          <w:sz w:val="24"/>
          <w:szCs w:val="24"/>
          <w:lang w:val="en-US"/>
        </w:rPr>
        <w:t>AtPng1 knockout mutant of Arabidopsis thaliana shows a juvenile phenotype, morpho-</w:t>
      </w:r>
      <w:r w:rsidRPr="00F72780">
        <w:rPr>
          <w:sz w:val="24"/>
          <w:szCs w:val="24"/>
          <w:lang w:val="en-US"/>
        </w:rPr>
        <w:lastRenderedPageBreak/>
        <w:t>functional changes, altered stress response and cell wall modifications. Plant Physiology and Biochemistry, 167, 11-21.</w:t>
      </w:r>
    </w:p>
    <w:sectPr w:rsidR="00F72780" w:rsidRPr="00F72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92"/>
    <w:rsid w:val="00191592"/>
    <w:rsid w:val="00292046"/>
    <w:rsid w:val="00DB4498"/>
    <w:rsid w:val="00F72780"/>
    <w:rsid w:val="00FD024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B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3440</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Cavalletti</dc:creator>
  <cp:lastModifiedBy>Utente di Microsoft Office</cp:lastModifiedBy>
  <cp:revision>4</cp:revision>
  <dcterms:created xsi:type="dcterms:W3CDTF">2021-09-07T12:47:00Z</dcterms:created>
  <dcterms:modified xsi:type="dcterms:W3CDTF">2021-09-10T10:16:00Z</dcterms:modified>
</cp:coreProperties>
</file>